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C9" w:rsidRPr="00571CDE" w:rsidRDefault="00163540" w:rsidP="008C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highlight w:val="darkYellow"/>
          <w:lang w:eastAsia="es-CO"/>
        </w:rPr>
      </w:pPr>
      <w:r w:rsidRPr="00571CDE">
        <w:rPr>
          <w:rFonts w:ascii="Times New Roman" w:eastAsia="Times New Roman" w:hAnsi="Times New Roman" w:cs="Times New Roman"/>
          <w:b/>
          <w:bCs/>
          <w:sz w:val="36"/>
          <w:szCs w:val="36"/>
          <w:highlight w:val="darkYellow"/>
          <w:lang w:eastAsia="es-CO"/>
        </w:rPr>
        <w:t>CARACTERÍSTICAS</w:t>
      </w:r>
      <w:r w:rsidR="0062723D" w:rsidRPr="00571CDE">
        <w:rPr>
          <w:rFonts w:ascii="Times New Roman" w:eastAsia="Times New Roman" w:hAnsi="Times New Roman" w:cs="Times New Roman"/>
          <w:b/>
          <w:bCs/>
          <w:sz w:val="36"/>
          <w:szCs w:val="36"/>
          <w:highlight w:val="darkYellow"/>
          <w:lang w:eastAsia="es-CO"/>
        </w:rPr>
        <w:t xml:space="preserve"> Y</w:t>
      </w:r>
    </w:p>
    <w:p w:rsidR="008C5CC9" w:rsidRPr="008C5CC9" w:rsidRDefault="0062723D" w:rsidP="008C5C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</w:pPr>
      <w:r w:rsidRPr="00571CDE">
        <w:rPr>
          <w:rFonts w:ascii="Times New Roman" w:eastAsia="Times New Roman" w:hAnsi="Times New Roman" w:cs="Times New Roman"/>
          <w:b/>
          <w:bCs/>
          <w:sz w:val="36"/>
          <w:szCs w:val="36"/>
          <w:highlight w:val="darkYellow"/>
          <w:lang w:eastAsia="es-CO"/>
        </w:rPr>
        <w:t>FICHA TECNICA -</w:t>
      </w:r>
      <w:r w:rsidR="001A16A9" w:rsidRPr="00571CDE">
        <w:rPr>
          <w:rFonts w:ascii="Times New Roman" w:eastAsia="Times New Roman" w:hAnsi="Times New Roman" w:cs="Times New Roman"/>
          <w:b/>
          <w:bCs/>
          <w:sz w:val="36"/>
          <w:szCs w:val="36"/>
          <w:highlight w:val="darkYellow"/>
          <w:lang w:eastAsia="es-CO"/>
        </w:rPr>
        <w:t xml:space="preserve"> OZONEEM </w:t>
      </w:r>
      <w:r w:rsidR="00A936C2" w:rsidRPr="00571CDE">
        <w:rPr>
          <w:rFonts w:ascii="Times New Roman" w:eastAsia="Times New Roman" w:hAnsi="Times New Roman" w:cs="Times New Roman"/>
          <w:b/>
          <w:bCs/>
          <w:sz w:val="36"/>
          <w:szCs w:val="36"/>
          <w:highlight w:val="darkYellow"/>
          <w:lang w:eastAsia="es-CO"/>
        </w:rPr>
        <w:t>OIL.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CO"/>
        </w:rPr>
        <w:t xml:space="preserve"> </w:t>
      </w:r>
    </w:p>
    <w:tbl>
      <w:tblPr>
        <w:tblW w:w="900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30"/>
      </w:tblGrid>
      <w:tr w:rsidR="008C5CC9" w:rsidRPr="008C5CC9" w:rsidTr="008C5C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8"/>
              <w:gridCol w:w="5782"/>
            </w:tblGrid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TIPO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EXTRACTO DE VEGETAL DE USO AGRÍCOLA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ACTIVIDAD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INSECTICIDA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ORIGEN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EXTRACTO VEGETAL 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DEL ÁRBOL DEL NEMM AZADIRACHTA Í</w:t>
                  </w:r>
                  <w:r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NDICA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INGREDIENTE ACTIVO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AZADIRACHTINA</w:t>
                  </w:r>
                  <w:r w:rsidR="001A16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S A + B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CONCENTRACIÓN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1A16A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1500 ppm</w:t>
                  </w:r>
                  <w:r w:rsidR="00FB18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 2.4 % 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FORMULACIÓN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CONCENTRADO EMULSIONABLE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MODO DE ACCIÓN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INGESTIÓN Y REPELENCIA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FABRICANTE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1A16A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OZONE BIOTECH 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INDIA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CATEGORÍA TOXICOLÓGICA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5F3DBC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III MEDIANAMENTE TÓ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XICO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,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FRANJA AZUL</w:t>
                  </w:r>
                </w:p>
              </w:tc>
            </w:tr>
          </w:tbl>
          <w:p w:rsidR="008C5CC9" w:rsidRPr="008C5CC9" w:rsidRDefault="008C5CC9" w:rsidP="008C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</w:pPr>
          </w:p>
        </w:tc>
      </w:tr>
      <w:tr w:rsidR="008C5CC9" w:rsidRPr="008C5CC9" w:rsidTr="008C5C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3"/>
              <w:gridCol w:w="407"/>
            </w:tblGrid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REGISTRO DE VENTA</w:t>
                  </w:r>
                  <w:r w:rsidR="005F3DB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 xml:space="preserve">         EN TRÁ</w:t>
                  </w:r>
                  <w:r w:rsidR="001A16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 xml:space="preserve">MITE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1A16A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      </w:t>
                  </w:r>
                </w:p>
              </w:tc>
            </w:tr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>TITULAR DE REGISTRO</w:t>
                  </w:r>
                  <w:r w:rsidR="00571B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 xml:space="preserve">     AGROINDUSTRIAL CANDILEJAS S.A.S.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8C5CC9" w:rsidRPr="008C5CC9" w:rsidRDefault="008C5CC9" w:rsidP="008C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</w:pPr>
          </w:p>
        </w:tc>
      </w:tr>
    </w:tbl>
    <w:p w:rsidR="008C5CC9" w:rsidRPr="008C5CC9" w:rsidRDefault="008C5CC9" w:rsidP="008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900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30"/>
      </w:tblGrid>
      <w:tr w:rsidR="008C5CC9" w:rsidRPr="008C5CC9" w:rsidTr="008C5C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1A16A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CO"/>
                    </w:rPr>
                    <w:t xml:space="preserve">OZINEEM OIL.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</w:t>
                  </w:r>
                  <w:r w:rsidR="005F3DBC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Es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un potente insecticida y acaricida biológico eficaz contra amplio espectro de plagas como Ácaros, Thirips, Mosca Blanca, Minadores, Cogolleros, </w:t>
                  </w:r>
                  <w:r w:rsidR="005F3DBC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Cochinilla,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ente otros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.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El efecto es progresivo y acumula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tivo sobre la plaga a controlar.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Afecta la ovoposición y eclosión de los huevos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.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No se genera resistenc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ia del insecto hacia el OZONEEM OIL.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Es una herramienta ideal en Mane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jo Integrado de Plagas ya que </w:t>
                  </w:r>
                  <w:r w:rsidR="005F3DBC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>puede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combinarse con la mayoría de los químicos biológicos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.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Es seguro para insectos benéficos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.  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Es seguro para el usuario, el consumidor, es</w:t>
                  </w:r>
                  <w:r w:rsidR="005F3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amigable con el medio ambiente.</w:t>
                  </w:r>
                  <w:r w:rsidR="005F3DBC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Puede</w:t>
                  </w:r>
                  <w:r w:rsidR="008C5CC9" w:rsidRPr="008C5C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  <w:t xml:space="preserve"> usarse como único insecticida o en mezclas con otros productos químicos y biológicos Tiene acción Sinérgica con otros plaguicidas</w:t>
                  </w:r>
                </w:p>
              </w:tc>
            </w:tr>
          </w:tbl>
          <w:p w:rsidR="008C5CC9" w:rsidRPr="008C5CC9" w:rsidRDefault="008C5CC9" w:rsidP="008C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CO"/>
              </w:rPr>
            </w:pPr>
          </w:p>
        </w:tc>
      </w:tr>
    </w:tbl>
    <w:p w:rsidR="008C5CC9" w:rsidRPr="008C5CC9" w:rsidRDefault="008C5CC9" w:rsidP="008C5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900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30"/>
      </w:tblGrid>
      <w:tr w:rsidR="008C5CC9" w:rsidRPr="008C5CC9" w:rsidTr="008C5C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8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C5CC9" w:rsidRPr="008C5C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C5CC9" w:rsidRPr="008C5CC9" w:rsidRDefault="008C5CC9" w:rsidP="008C5C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4"/>
                      <w:lang w:eastAsia="es-CO"/>
                    </w:rPr>
                    <w:t>RECOMENDACIONES DE USO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Agitar antes de usar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Diluir en agua de acuerdo a la dosis requerida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Aplicar con frecuencia de</w:t>
                  </w:r>
                  <w:r w:rsidR="005F3D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 xml:space="preserve"> </w:t>
                  </w: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 xml:space="preserve"> 5-7 </w:t>
                  </w:r>
                  <w:r w:rsidR="00811152"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días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Asegurarse de cubrir el follaje totalmente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Se recomienda pH de 5.5</w:t>
                  </w:r>
                  <w:r w:rsidR="005F3D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 xml:space="preserve"> </w:t>
                  </w: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- 6.5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Usar adherentes aceitosos para un control de la plaga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No guardar la mezcla lista para la aplicación, siempre preparar una nueva</w:t>
                  </w:r>
                  <w:r w:rsidR="005F3D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.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lastRenderedPageBreak/>
                    <w:t>Puede usarse en combinación con la mayorías de químicos y biológicos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Realizar triple lavado a los envases antes de desecharlos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 xml:space="preserve">Aplicar con equipos terrestres u </w:t>
                  </w:r>
                  <w:r w:rsidR="001B5AF0"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aér</w:t>
                  </w:r>
                  <w:r w:rsidR="001B5AF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e</w:t>
                  </w:r>
                  <w:r w:rsidR="001B5AF0"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os</w:t>
                  </w: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 xml:space="preserve"> de uso común en cultivos a libre exposición o invernadero</w:t>
                  </w:r>
                </w:p>
                <w:p w:rsidR="008C5CC9" w:rsidRPr="008C5CC9" w:rsidRDefault="008C5CC9" w:rsidP="008C5CC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</w:pPr>
                  <w:r w:rsidRPr="008C5CC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  <w:lang w:eastAsia="es-CO"/>
                    </w:rPr>
                    <w:t>Puede aplicarse por aspersión o por Drench</w:t>
                  </w:r>
                </w:p>
              </w:tc>
            </w:tr>
          </w:tbl>
          <w:p w:rsidR="008C5CC9" w:rsidRPr="008C5CC9" w:rsidRDefault="008C5CC9" w:rsidP="008C5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4"/>
                <w:lang w:eastAsia="es-CO"/>
              </w:rPr>
            </w:pPr>
          </w:p>
        </w:tc>
      </w:tr>
    </w:tbl>
    <w:p w:rsidR="008C5CC9" w:rsidRPr="008C5CC9" w:rsidRDefault="008C5CC9" w:rsidP="008C5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s-CO"/>
        </w:rPr>
      </w:pPr>
    </w:p>
    <w:tbl>
      <w:tblPr>
        <w:tblW w:w="907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31"/>
        <w:gridCol w:w="3990"/>
        <w:gridCol w:w="2154"/>
      </w:tblGrid>
      <w:tr w:rsidR="008C5CC9" w:rsidRPr="008C5CC9" w:rsidTr="00490084">
        <w:trPr>
          <w:tblCellSpacing w:w="0" w:type="dxa"/>
        </w:trPr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8C5CC9" w:rsidRPr="00490084" w:rsidRDefault="008C5CC9" w:rsidP="008C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4900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s-CO"/>
              </w:rPr>
              <w:t>CULTIVO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8C5CC9" w:rsidRPr="00490084" w:rsidRDefault="008C5CC9" w:rsidP="008C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4900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s-CO"/>
              </w:rPr>
              <w:t>DOSIS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  <w:hideMark/>
          </w:tcPr>
          <w:p w:rsidR="008C5CC9" w:rsidRPr="00490084" w:rsidRDefault="008C5CC9" w:rsidP="008C5C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49008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es-CO"/>
              </w:rPr>
              <w:t>PLAGA</w:t>
            </w:r>
          </w:p>
        </w:tc>
      </w:tr>
      <w:tr w:rsidR="008C5CC9" w:rsidRPr="008C5CC9" w:rsidTr="008C5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CC9" w:rsidRPr="00383DF6" w:rsidRDefault="008C5CC9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HORTALIZAS</w:t>
            </w:r>
          </w:p>
          <w:p w:rsidR="008C5CC9" w:rsidRPr="00383DF6" w:rsidRDefault="008C5CC9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Lechugas, espinacas, brócoli, coliflor, hierbas</w:t>
            </w:r>
          </w:p>
        </w:tc>
        <w:tc>
          <w:tcPr>
            <w:tcW w:w="0" w:type="auto"/>
            <w:vAlign w:val="center"/>
            <w:hideMark/>
          </w:tcPr>
          <w:p w:rsidR="008C5CC9" w:rsidRPr="00383DF6" w:rsidRDefault="008C5CC9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o.5-1.0L/Ha. De acuerdo al grado de infestación Frecuencia aplicación: 5-7 </w:t>
            </w:r>
            <w:r w:rsidR="006030C2"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días</w:t>
            </w: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 Siga la recomendación del ingeniero agrónomo </w:t>
            </w:r>
          </w:p>
        </w:tc>
        <w:tc>
          <w:tcPr>
            <w:tcW w:w="0" w:type="auto"/>
            <w:vAlign w:val="center"/>
            <w:hideMark/>
          </w:tcPr>
          <w:p w:rsidR="008C5CC9" w:rsidRPr="00383DF6" w:rsidRDefault="00163540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T</w:t>
            </w:r>
            <w:r w:rsidR="00687B74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r</w:t>
            </w:r>
            <w:r w:rsidR="008C5CC9"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ips, </w:t>
            </w:r>
            <w:r w:rsidR="00687B74"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afidios</w:t>
            </w:r>
            <w:r w:rsidR="008C5CC9"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, minadores cogolleros, mosca blanca</w:t>
            </w:r>
          </w:p>
        </w:tc>
      </w:tr>
      <w:tr w:rsidR="008C5CC9" w:rsidRPr="008C5CC9" w:rsidTr="008C5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CC9" w:rsidRPr="00383DF6" w:rsidRDefault="008C5CC9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ORNAMENTALES</w:t>
            </w:r>
          </w:p>
          <w:p w:rsidR="008C5CC9" w:rsidRPr="00383DF6" w:rsidRDefault="008C5CC9" w:rsidP="008C5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</w:p>
          <w:p w:rsidR="008C5CC9" w:rsidRPr="00383DF6" w:rsidRDefault="008C5CC9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Rosa, clavel, crisantemos, follajes</w:t>
            </w:r>
          </w:p>
        </w:tc>
        <w:tc>
          <w:tcPr>
            <w:tcW w:w="0" w:type="auto"/>
            <w:vAlign w:val="center"/>
            <w:hideMark/>
          </w:tcPr>
          <w:p w:rsidR="008C5CC9" w:rsidRPr="00383DF6" w:rsidRDefault="008C5CC9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0.5-1.0mL/L aplicación frecuencia de aplicación 5-7 </w:t>
            </w:r>
            <w:r w:rsidR="006030C2"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días</w:t>
            </w: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 siga la recomendación del ingeniero agrónomo</w:t>
            </w:r>
          </w:p>
        </w:tc>
        <w:tc>
          <w:tcPr>
            <w:tcW w:w="0" w:type="auto"/>
            <w:vAlign w:val="center"/>
            <w:hideMark/>
          </w:tcPr>
          <w:p w:rsidR="008C5CC9" w:rsidRPr="00383DF6" w:rsidRDefault="008C5CC9" w:rsidP="008C5C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</w:pP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Ácaros, </w:t>
            </w:r>
            <w:r w:rsidR="00163540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Trips</w:t>
            </w: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, </w:t>
            </w:r>
            <w:r w:rsidR="00687B74"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Afidios</w:t>
            </w:r>
            <w:r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 xml:space="preserve"> Mosca Blanca </w:t>
            </w:r>
            <w:r w:rsidR="00687B74" w:rsidRPr="00383DF6">
              <w:rPr>
                <w:rFonts w:ascii="Times New Roman" w:eastAsia="Times New Roman" w:hAnsi="Times New Roman" w:cs="Times New Roman"/>
                <w:sz w:val="28"/>
                <w:szCs w:val="24"/>
                <w:lang w:eastAsia="es-CO"/>
              </w:rPr>
              <w:t>Afidios</w:t>
            </w:r>
          </w:p>
        </w:tc>
      </w:tr>
    </w:tbl>
    <w:p w:rsidR="001A16A9" w:rsidRDefault="001A16A9">
      <w:pPr>
        <w:rPr>
          <w:b/>
          <w:sz w:val="28"/>
        </w:rPr>
      </w:pPr>
    </w:p>
    <w:p w:rsidR="00FE1D4E" w:rsidRPr="00482C77" w:rsidRDefault="00383DF6">
      <w:pPr>
        <w:rPr>
          <w:rFonts w:ascii="Bodoni MT" w:hAnsi="Bodoni MT"/>
          <w:b/>
          <w:i/>
          <w:sz w:val="28"/>
          <w:u w:val="single"/>
        </w:rPr>
      </w:pPr>
      <w:r w:rsidRPr="00482C77">
        <w:rPr>
          <w:rFonts w:ascii="Bodoni MT" w:hAnsi="Bodoni MT"/>
          <w:b/>
          <w:i/>
          <w:sz w:val="28"/>
          <w:highlight w:val="darkYellow"/>
          <w:u w:val="single"/>
        </w:rPr>
        <w:t xml:space="preserve">DISTRIBUYE AGROINDUSTRIAL </w:t>
      </w:r>
      <w:r w:rsidR="00687B74" w:rsidRPr="00482C77">
        <w:rPr>
          <w:rFonts w:ascii="Bodoni MT" w:hAnsi="Bodoni MT"/>
          <w:b/>
          <w:i/>
          <w:sz w:val="28"/>
          <w:highlight w:val="darkYellow"/>
          <w:u w:val="single"/>
        </w:rPr>
        <w:t xml:space="preserve">CANDILEJAS </w:t>
      </w:r>
      <w:r w:rsidR="00490084" w:rsidRPr="00482C77">
        <w:rPr>
          <w:rFonts w:ascii="Bodoni MT" w:hAnsi="Bodoni MT"/>
          <w:b/>
          <w:i/>
          <w:sz w:val="28"/>
          <w:highlight w:val="darkYellow"/>
          <w:u w:val="single"/>
        </w:rPr>
        <w:t>S.A.S CEL</w:t>
      </w:r>
      <w:r w:rsidRPr="00482C77">
        <w:rPr>
          <w:rFonts w:ascii="Bodoni MT" w:hAnsi="Bodoni MT"/>
          <w:b/>
          <w:i/>
          <w:sz w:val="28"/>
          <w:highlight w:val="darkYellow"/>
          <w:u w:val="single"/>
        </w:rPr>
        <w:t xml:space="preserve">. 315 349 2377 </w:t>
      </w:r>
      <w:r w:rsidR="001C1FEA" w:rsidRPr="00482C77">
        <w:rPr>
          <w:rFonts w:ascii="Bodoni MT" w:hAnsi="Bodoni MT"/>
          <w:b/>
          <w:i/>
          <w:sz w:val="28"/>
          <w:highlight w:val="darkYellow"/>
          <w:u w:val="single"/>
        </w:rPr>
        <w:t xml:space="preserve">  </w:t>
      </w:r>
      <w:r w:rsidRPr="00482C77">
        <w:rPr>
          <w:rFonts w:ascii="Bodoni MT" w:hAnsi="Bodoni MT"/>
          <w:b/>
          <w:i/>
          <w:sz w:val="28"/>
          <w:highlight w:val="darkYellow"/>
          <w:u w:val="single"/>
        </w:rPr>
        <w:t>CALI</w:t>
      </w:r>
      <w:r w:rsidR="00163540" w:rsidRPr="00482C77">
        <w:rPr>
          <w:rFonts w:ascii="Bodoni MT" w:hAnsi="Bodoni MT"/>
          <w:b/>
          <w:i/>
          <w:sz w:val="28"/>
          <w:highlight w:val="darkYellow"/>
          <w:u w:val="single"/>
        </w:rPr>
        <w:t>-</w:t>
      </w:r>
      <w:r w:rsidR="00490084" w:rsidRPr="00482C77">
        <w:rPr>
          <w:rFonts w:ascii="Bodoni MT" w:hAnsi="Bodoni MT"/>
          <w:b/>
          <w:i/>
          <w:sz w:val="28"/>
          <w:highlight w:val="darkYellow"/>
          <w:u w:val="single"/>
        </w:rPr>
        <w:t>VALLE COLOMBIA</w:t>
      </w:r>
    </w:p>
    <w:p w:rsidR="001A16A9" w:rsidRPr="001A16A9" w:rsidRDefault="001A16A9">
      <w:pPr>
        <w:rPr>
          <w:b/>
          <w:sz w:val="28"/>
        </w:rPr>
      </w:pPr>
      <w:bookmarkStart w:id="0" w:name="_GoBack"/>
      <w:bookmarkEnd w:id="0"/>
    </w:p>
    <w:sectPr w:rsidR="001A16A9" w:rsidRPr="001A1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3F4D"/>
    <w:multiLevelType w:val="multilevel"/>
    <w:tmpl w:val="392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C9"/>
    <w:rsid w:val="00163540"/>
    <w:rsid w:val="001A16A9"/>
    <w:rsid w:val="001B5AF0"/>
    <w:rsid w:val="001C1FEA"/>
    <w:rsid w:val="00383DF6"/>
    <w:rsid w:val="00482C77"/>
    <w:rsid w:val="00490084"/>
    <w:rsid w:val="00571BD2"/>
    <w:rsid w:val="00571CDE"/>
    <w:rsid w:val="005F3DBC"/>
    <w:rsid w:val="006030C2"/>
    <w:rsid w:val="0062723D"/>
    <w:rsid w:val="00687B74"/>
    <w:rsid w:val="00811152"/>
    <w:rsid w:val="008C5CC9"/>
    <w:rsid w:val="00A936C2"/>
    <w:rsid w:val="00B50E01"/>
    <w:rsid w:val="00FB186D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0F32B-391B-4658-A253-0CB9D395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2017-01-25T00:10:00Z</cp:lastPrinted>
  <dcterms:created xsi:type="dcterms:W3CDTF">2015-02-26T17:52:00Z</dcterms:created>
  <dcterms:modified xsi:type="dcterms:W3CDTF">2017-01-25T00:10:00Z</dcterms:modified>
</cp:coreProperties>
</file>